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0" w:type="dxa"/>
        <w:jc w:val="center"/>
        <w:tblLook w:val="04A0" w:firstRow="1" w:lastRow="0" w:firstColumn="1" w:lastColumn="0" w:noHBand="0" w:noVBand="1"/>
      </w:tblPr>
      <w:tblGrid>
        <w:gridCol w:w="3780"/>
        <w:gridCol w:w="2150"/>
        <w:gridCol w:w="1980"/>
        <w:gridCol w:w="2430"/>
      </w:tblGrid>
      <w:tr w:rsidR="0034343A" w:rsidRPr="0034343A" w14:paraId="4CB84827" w14:textId="77777777" w:rsidTr="00C3244C">
        <w:trPr>
          <w:trHeight w:val="1515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52191" w14:textId="77777777" w:rsidR="0034343A" w:rsidRPr="0034343A" w:rsidRDefault="0034343A" w:rsidP="00343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343A">
              <w:rPr>
                <w:rFonts w:ascii="Calibri" w:eastAsia="Times New Roman" w:hAnsi="Calibri" w:cs="Calibri"/>
                <w:b/>
                <w:bCs/>
                <w:color w:val="000000"/>
              </w:rPr>
              <w:t>Suggested Topic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575CB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343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Check this column if the topic is an urgent need; </w:t>
            </w:r>
            <w:r w:rsidRPr="0034343A">
              <w:rPr>
                <w:rFonts w:ascii="Calibri" w:eastAsia="Times New Roman" w:hAnsi="Calibri" w:cs="Calibri"/>
                <w:b/>
                <w:bCs/>
                <w:color w:val="FF0000"/>
              </w:rPr>
              <w:t>short-term priority (2-4 weeks)</w:t>
            </w:r>
            <w:r w:rsidRPr="0034343A">
              <w:rPr>
                <w:rFonts w:ascii="Calibri" w:eastAsia="Times New Roman" w:hAnsi="Calibri" w:cs="Calibri"/>
                <w:b/>
                <w:bCs/>
                <w:color w:val="000000"/>
              </w:rPr>
              <w:t>; these will likely get rapid review, not systematic lit review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B67A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343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Check this column if the topic is a less urgent need; </w:t>
            </w:r>
            <w:r w:rsidRPr="0034343A">
              <w:rPr>
                <w:rFonts w:ascii="Calibri" w:eastAsia="Times New Roman" w:hAnsi="Calibri" w:cs="Calibri"/>
                <w:b/>
                <w:bCs/>
                <w:color w:val="FF0000"/>
              </w:rPr>
              <w:t>longer-term priority (e.g., 3 months)</w:t>
            </w:r>
            <w:r w:rsidRPr="0034343A">
              <w:rPr>
                <w:rFonts w:ascii="Calibri" w:eastAsia="Times New Roman" w:hAnsi="Calibri" w:cs="Calibri"/>
                <w:b/>
                <w:bCs/>
                <w:color w:val="000000"/>
              </w:rPr>
              <w:t>; these will likely get more thorough lit review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935F7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343A">
              <w:rPr>
                <w:rFonts w:ascii="Calibri" w:eastAsia="Times New Roman" w:hAnsi="Calibri" w:cs="Calibri"/>
                <w:b/>
                <w:bCs/>
                <w:color w:val="000000"/>
              </w:rPr>
              <w:t>Ranking (1=highest priority; please group and rank short-term and longer-term suggestions separately; end goal is to have a ranked list for short term and ranked list for long)</w:t>
            </w:r>
          </w:p>
        </w:tc>
      </w:tr>
      <w:tr w:rsidR="0034343A" w:rsidRPr="0034343A" w14:paraId="767435FA" w14:textId="77777777" w:rsidTr="00C3244C">
        <w:trPr>
          <w:trHeight w:val="1290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F115" w14:textId="77777777" w:rsidR="0034343A" w:rsidRPr="0034343A" w:rsidRDefault="0034343A" w:rsidP="0034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Changes in treatment (i.e. discontinuation, switching from IV to SC, access to physical therapy) of rheumatic patients during COVID and disease outcomes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1A891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C98C5" w14:textId="3CB8441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D8C18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4343A" w:rsidRPr="0034343A" w14:paraId="687E9A7B" w14:textId="77777777" w:rsidTr="00C3244C">
        <w:trPr>
          <w:trHeight w:val="1035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7C00A" w14:textId="77777777" w:rsidR="0034343A" w:rsidRPr="0034343A" w:rsidRDefault="0034343A" w:rsidP="0034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Impact of non-rheumatic comorbidities (i.e. HTN, COPD, DM) in COVID-19-related outcomes in rheumatic patients and comparison to general population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F222A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E79A1" w14:textId="0418F004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CDD33" w14:textId="4BBC6BC5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4343A" w:rsidRPr="0034343A" w14:paraId="265CF12C" w14:textId="77777777" w:rsidTr="00C3244C">
        <w:trPr>
          <w:trHeight w:val="1035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96049" w14:textId="77777777" w:rsidR="0034343A" w:rsidRPr="0034343A" w:rsidRDefault="0034343A" w:rsidP="0034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Analysis of combined data from IBD and/or </w:t>
            </w:r>
            <w:proofErr w:type="spellStart"/>
            <w:r w:rsidRPr="00343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</w:t>
            </w:r>
            <w:proofErr w:type="spellEnd"/>
            <w:r w:rsidRPr="00343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COVID-19 registries comparing clinical outcomes (underlying diseases, medication)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FC2A4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AB331" w14:textId="167F45C0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93FAF" w14:textId="2BA3A0C8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34343A" w:rsidRPr="0034343A" w14:paraId="4077A1B0" w14:textId="77777777" w:rsidTr="00C3244C">
        <w:trPr>
          <w:trHeight w:val="780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CDB3B" w14:textId="77777777" w:rsidR="0034343A" w:rsidRPr="0034343A" w:rsidRDefault="0034343A" w:rsidP="0034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Risk of flare of underlying rheumatic disease in patients with COVID-19 infection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353C1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0ED7A" w14:textId="3F5BDDD1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33D67" w14:textId="42596781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4343A" w:rsidRPr="0034343A" w14:paraId="3390A3E2" w14:textId="77777777" w:rsidTr="00C3244C">
        <w:trPr>
          <w:trHeight w:val="780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ADC9" w14:textId="77777777" w:rsidR="0034343A" w:rsidRPr="0034343A" w:rsidRDefault="0034343A" w:rsidP="0034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Autoimmune complications and management associated to COVID-19 (i.e. Kawasaki-like disease in children)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1D17C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E573D" w14:textId="7AE48BC3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5AD28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4343A" w:rsidRPr="0034343A" w14:paraId="223CE2CC" w14:textId="77777777" w:rsidTr="00C3244C">
        <w:trPr>
          <w:trHeight w:val="525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BF276" w14:textId="77777777" w:rsidR="0034343A" w:rsidRPr="0034343A" w:rsidRDefault="0034343A" w:rsidP="0034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COVID-19 presentation and outcomes in pregnant rheumatic disease patients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17F25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785F5" w14:textId="2CD2B81E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E7D7" w14:textId="2AEE2F8A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34343A" w:rsidRPr="0034343A" w14:paraId="04A6A2DA" w14:textId="77777777" w:rsidTr="00C3244C">
        <w:trPr>
          <w:trHeight w:val="1035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6EB9" w14:textId="77777777" w:rsidR="0034343A" w:rsidRPr="0034343A" w:rsidRDefault="0034343A" w:rsidP="0034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Impact on specific rheumatic medications on COVID-19 and other viral disease outcomes (extension Team 4 SR)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5750A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7E58F" w14:textId="0EA29668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E927D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4343A" w:rsidRPr="0034343A" w14:paraId="193CEED7" w14:textId="77777777" w:rsidTr="00C3244C">
        <w:trPr>
          <w:trHeight w:val="1035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225B8" w14:textId="77777777" w:rsidR="0034343A" w:rsidRPr="0034343A" w:rsidRDefault="0034343A" w:rsidP="0034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Presentation and outcomes of COVID-19 in specific rheumatic diseases, including demographics, smoking, baseline disease activity and treatments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DB0E0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76194" w14:textId="0E70BC05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73A9" w14:textId="15E9D40D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4343A" w:rsidRPr="0034343A" w14:paraId="5E2B4F49" w14:textId="77777777" w:rsidTr="00C3244C">
        <w:trPr>
          <w:trHeight w:val="1545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37CC8" w14:textId="77777777" w:rsidR="0034343A" w:rsidRPr="0034343A" w:rsidRDefault="0034343A" w:rsidP="0034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COVID-19 related thrombotic complications in patients with rheumatic diseases (including APL positive vs APL negative patients at baseline, changes in APL seropositivity during COVID infection)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6D3DC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A522D" w14:textId="4678AE18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F451E" w14:textId="45428ACD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4343A" w:rsidRPr="0034343A" w14:paraId="73A76300" w14:textId="77777777" w:rsidTr="00C3244C">
        <w:trPr>
          <w:trHeight w:val="1035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D96FC" w14:textId="77777777" w:rsidR="0034343A" w:rsidRPr="0034343A" w:rsidRDefault="0034343A" w:rsidP="0034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Risk of severe COVID-19 and complications (i.e. cytokine storm syndrome) in patients with rheumatic diseases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617DD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E5CB8" w14:textId="1EBBB17A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7B3BF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4343A" w:rsidRPr="0034343A" w14:paraId="7580BF13" w14:textId="77777777" w:rsidTr="00C3244C">
        <w:trPr>
          <w:trHeight w:val="525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F52D" w14:textId="77777777" w:rsidR="0034343A" w:rsidRPr="0034343A" w:rsidRDefault="0034343A" w:rsidP="0034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Impact of HCQ shortage during COVID-19 pandemic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3BB0F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BDDBA" w14:textId="2194583C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61A02" w14:textId="5309B124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34343A" w:rsidRPr="0034343A" w14:paraId="00412CBB" w14:textId="77777777" w:rsidTr="00C3244C">
        <w:trPr>
          <w:trHeight w:val="1035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41F2" w14:textId="77777777" w:rsidR="0034343A" w:rsidRPr="0034343A" w:rsidRDefault="0034343A" w:rsidP="0034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Impact of COVID-19 in rheumatology practices and providers in different practice settings: telemedicine issues, impact on private practice/groups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1DF78" w14:textId="35DD8686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6D06B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659D5" w14:textId="71A2EC8B" w:rsidR="0034343A" w:rsidRPr="0034343A" w:rsidRDefault="00C3244C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34343A" w:rsidRPr="0034343A" w14:paraId="0FAE027D" w14:textId="77777777" w:rsidTr="00C3244C">
        <w:trPr>
          <w:trHeight w:val="1035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DA838" w14:textId="77777777" w:rsidR="0034343A" w:rsidRPr="0034343A" w:rsidRDefault="0034343A" w:rsidP="0034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Impact of COVID-19 in patient care and regional differences in delivery care: telemedicine (implementation for long term)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B6595" w14:textId="289B1F42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4C2F1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79223" w14:textId="0C0175F6" w:rsidR="0034343A" w:rsidRPr="0034343A" w:rsidRDefault="00C3244C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4343A" w:rsidRPr="0034343A" w14:paraId="427E5E82" w14:textId="77777777" w:rsidTr="00C3244C">
        <w:trPr>
          <w:trHeight w:val="525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22A9D" w14:textId="77777777" w:rsidR="0034343A" w:rsidRPr="0034343A" w:rsidRDefault="0034343A" w:rsidP="0034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term follow-up needs for rheumatic patients with COVID-19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97B29" w14:textId="5B2283FC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6C197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D94B2" w14:textId="4B21FAE4" w:rsidR="0034343A" w:rsidRPr="0034343A" w:rsidRDefault="00C3244C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34343A" w:rsidRPr="0034343A" w14:paraId="12537274" w14:textId="77777777" w:rsidTr="00C3244C">
        <w:trPr>
          <w:trHeight w:val="780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8602" w14:textId="77777777" w:rsidR="0034343A" w:rsidRPr="0034343A" w:rsidRDefault="0034343A" w:rsidP="0034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and racial differences in COVID-19 manifestations and outcomes in patients with rheumatic disease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DB9F7" w14:textId="47659713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41E42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9A889" w14:textId="2F170F26" w:rsidR="0034343A" w:rsidRPr="0034343A" w:rsidRDefault="00C3244C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4343A" w:rsidRPr="0034343A" w14:paraId="5953E120" w14:textId="77777777" w:rsidTr="00C3244C">
        <w:trPr>
          <w:trHeight w:val="780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8816" w14:textId="77777777" w:rsidR="0034343A" w:rsidRPr="0034343A" w:rsidRDefault="0034343A" w:rsidP="0034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Long-term sequelae of COVID-19 (lung disease, disease activity) in rheumatic patients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37374" w14:textId="7C0069C5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12393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E90BF" w14:textId="24E6C50A" w:rsidR="0034343A" w:rsidRPr="0034343A" w:rsidRDefault="00C3244C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4343A" w:rsidRPr="0034343A" w14:paraId="51FF8125" w14:textId="77777777" w:rsidTr="00C3244C">
        <w:trPr>
          <w:trHeight w:val="780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07E7E" w14:textId="77777777" w:rsidR="0034343A" w:rsidRPr="0034343A" w:rsidRDefault="0034343A" w:rsidP="0034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COVID-19 outcomes in RA-ILD and others forms of CTD-ILD (compared to non-CTD-ILD)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1508A" w14:textId="4A68B6EE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B6A6B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62C2" w14:textId="3C3302DC" w:rsidR="0034343A" w:rsidRPr="0034343A" w:rsidRDefault="00C3244C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4343A" w:rsidRPr="0034343A" w14:paraId="460FA152" w14:textId="77777777" w:rsidTr="00C3244C">
        <w:trPr>
          <w:trHeight w:val="1290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A4C05" w14:textId="77777777" w:rsidR="0034343A" w:rsidRPr="0034343A" w:rsidRDefault="0034343A" w:rsidP="0034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Scale up of Rheum-COVID globally: what is the pattern of dissemination/uptake, where are the challenges, what have been the unique solutions, what are important factors for sustainability?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4503" w14:textId="35AE4115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B8531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18171" w14:textId="3140B158" w:rsidR="0034343A" w:rsidRPr="0034343A" w:rsidRDefault="00C3244C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4343A" w:rsidRPr="0034343A" w14:paraId="1C4607CB" w14:textId="77777777" w:rsidTr="00C3244C">
        <w:trPr>
          <w:trHeight w:val="780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9563" w14:textId="77777777" w:rsidR="0034343A" w:rsidRPr="0034343A" w:rsidRDefault="0034343A" w:rsidP="0034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Development and persistence of immunity to COVID-19 in patients with rheumatic diseases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BE58F" w14:textId="1A0F5F59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7CB0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62855" w14:textId="4421DCC3" w:rsidR="0034343A" w:rsidRPr="0034343A" w:rsidRDefault="00C3244C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4343A" w:rsidRPr="0034343A" w14:paraId="17A9977B" w14:textId="77777777" w:rsidTr="00C3244C">
        <w:trPr>
          <w:trHeight w:val="780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5B217" w14:textId="77777777" w:rsidR="0034343A" w:rsidRPr="0034343A" w:rsidRDefault="0034343A" w:rsidP="0034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4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Impact of COVID-19 on rheumatology trainees (continuity clinics, lectures, new inpatient roles)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F0CE" w14:textId="0165304A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BB726" w14:textId="77777777" w:rsidR="0034343A" w:rsidRPr="0034343A" w:rsidRDefault="0034343A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43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DFC01" w14:textId="25DE0D85" w:rsidR="0034343A" w:rsidRPr="0034343A" w:rsidRDefault="00C3244C" w:rsidP="00873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14:paraId="70CD5F2B" w14:textId="11C8DB80" w:rsidR="0018536C" w:rsidRDefault="0018536C"/>
    <w:p w14:paraId="6199801C" w14:textId="77777777" w:rsidR="0018536C" w:rsidRDefault="0018536C"/>
    <w:sectPr w:rsidR="0018536C" w:rsidSect="00C3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0E"/>
    <w:rsid w:val="0018536C"/>
    <w:rsid w:val="0034343A"/>
    <w:rsid w:val="00850F97"/>
    <w:rsid w:val="0087348A"/>
    <w:rsid w:val="00A3280E"/>
    <w:rsid w:val="00C3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F2DB"/>
  <w15:chartTrackingRefBased/>
  <w15:docId w15:val="{10B97362-7685-4F96-98B3-260E7C24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Sattui</dc:creator>
  <cp:keywords/>
  <dc:description/>
  <cp:lastModifiedBy>Sebastian Sattui</cp:lastModifiedBy>
  <cp:revision>3</cp:revision>
  <dcterms:created xsi:type="dcterms:W3CDTF">2020-05-20T13:19:00Z</dcterms:created>
  <dcterms:modified xsi:type="dcterms:W3CDTF">2020-05-20T15:04:00Z</dcterms:modified>
</cp:coreProperties>
</file>